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D3119" w14:textId="42B5272B" w:rsidR="00F8397E" w:rsidRDefault="00164139" w:rsidP="00810E28">
      <w:r w:rsidRPr="00164139">
        <w:t>httpssip.lex.plakty-prawnedzu-dziennik-ustawprawo-budowlane-16796118roz-2</w:t>
      </w:r>
    </w:p>
    <w:sectPr w:rsidR="00F83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BB"/>
    <w:rsid w:val="00164139"/>
    <w:rsid w:val="002B1878"/>
    <w:rsid w:val="00303BBB"/>
    <w:rsid w:val="00751278"/>
    <w:rsid w:val="00810E28"/>
    <w:rsid w:val="00F8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942BA"/>
  <w15:chartTrackingRefBased/>
  <w15:docId w15:val="{906B3F0F-A9BB-4E78-BBF6-925DF4EF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64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WMOIIB</dc:creator>
  <cp:keywords/>
  <dc:description/>
  <cp:lastModifiedBy>WMOIIB</cp:lastModifiedBy>
  <cp:revision>3</cp:revision>
  <dcterms:created xsi:type="dcterms:W3CDTF">2026-05-08T09:54:00Z</dcterms:created>
  <dcterms:modified xsi:type="dcterms:W3CDTF">2026-05-08T10:01:00Z</dcterms:modified>
</cp:coreProperties>
</file>